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14FA5A" w14:textId="791AE865" w:rsidR="00F32346" w:rsidRPr="00005D71" w:rsidRDefault="000B2728" w:rsidP="00723DB5">
      <w:pPr>
        <w:spacing w:line="276" w:lineRule="auto"/>
        <w:jc w:val="center"/>
        <w:rPr>
          <w:rFonts w:ascii="Times New Roman" w:hAnsi="Times New Roman" w:cs="Times New Roman"/>
          <w:b/>
          <w:bCs/>
          <w:sz w:val="32"/>
          <w:szCs w:val="32"/>
          <w:u w:val="single"/>
        </w:rPr>
      </w:pPr>
      <w:r w:rsidRPr="00005D71">
        <w:rPr>
          <w:rFonts w:ascii="Times New Roman" w:hAnsi="Times New Roman" w:cs="Times New Roman"/>
          <w:b/>
          <w:bCs/>
          <w:sz w:val="32"/>
          <w:szCs w:val="32"/>
          <w:u w:val="single"/>
        </w:rPr>
        <w:t xml:space="preserve">AP Government: Unit 5, Lecture 1 – “Campaign Finance and the Political Process Post </w:t>
      </w:r>
      <w:r w:rsidRPr="00005D71">
        <w:rPr>
          <w:rFonts w:ascii="Times New Roman" w:hAnsi="Times New Roman" w:cs="Times New Roman"/>
          <w:b/>
          <w:bCs/>
          <w:i/>
          <w:iCs/>
          <w:sz w:val="32"/>
          <w:szCs w:val="32"/>
          <w:u w:val="single"/>
        </w:rPr>
        <w:t>Citizens United</w:t>
      </w:r>
      <w:r w:rsidRPr="00005D71">
        <w:rPr>
          <w:rFonts w:ascii="Times New Roman" w:hAnsi="Times New Roman" w:cs="Times New Roman"/>
          <w:b/>
          <w:bCs/>
          <w:sz w:val="32"/>
          <w:szCs w:val="32"/>
          <w:u w:val="single"/>
        </w:rPr>
        <w:t>”</w:t>
      </w:r>
    </w:p>
    <w:p w14:paraId="525AA9B5" w14:textId="28266135" w:rsidR="000B2728" w:rsidRPr="00005D71" w:rsidRDefault="000B2728" w:rsidP="00723DB5">
      <w:pPr>
        <w:spacing w:line="276" w:lineRule="auto"/>
        <w:rPr>
          <w:rFonts w:ascii="Times New Roman" w:hAnsi="Times New Roman" w:cs="Times New Roman"/>
          <w:sz w:val="28"/>
          <w:szCs w:val="28"/>
        </w:rPr>
      </w:pPr>
      <w:r w:rsidRPr="00005D71">
        <w:rPr>
          <w:rFonts w:ascii="Times New Roman" w:hAnsi="Times New Roman" w:cs="Times New Roman"/>
          <w:b/>
          <w:bCs/>
          <w:sz w:val="28"/>
          <w:szCs w:val="28"/>
        </w:rPr>
        <w:t>Objective</w:t>
      </w:r>
      <w:r w:rsidRPr="00005D71">
        <w:rPr>
          <w:rFonts w:ascii="Times New Roman" w:hAnsi="Times New Roman" w:cs="Times New Roman"/>
          <w:sz w:val="28"/>
          <w:szCs w:val="28"/>
        </w:rPr>
        <w:t>: Explain how the organization, finance, and strategies of campaigns effect the election process</w:t>
      </w:r>
    </w:p>
    <w:p w14:paraId="636BF8BB" w14:textId="7A160ED7" w:rsidR="000B2728" w:rsidRPr="00005D71" w:rsidRDefault="00005D71" w:rsidP="00723DB5">
      <w:pPr>
        <w:spacing w:line="276" w:lineRule="auto"/>
        <w:rPr>
          <w:rFonts w:ascii="Times New Roman" w:hAnsi="Times New Roman" w:cs="Times New Roman"/>
          <w:sz w:val="28"/>
          <w:szCs w:val="28"/>
        </w:rPr>
      </w:pPr>
      <w:r>
        <w:rPr>
          <w:rFonts w:ascii="Times New Roman" w:hAnsi="Times New Roman" w:cs="Times New Roman"/>
          <w:sz w:val="28"/>
          <w:szCs w:val="28"/>
        </w:rPr>
        <w:t>--------------------------------------------------------------------------------------------------</w:t>
      </w:r>
    </w:p>
    <w:p w14:paraId="5B25D421" w14:textId="14C14AD5" w:rsidR="000B2728" w:rsidRPr="00005D71" w:rsidRDefault="000B2728" w:rsidP="00723DB5">
      <w:pPr>
        <w:pStyle w:val="ListParagraph"/>
        <w:numPr>
          <w:ilvl w:val="0"/>
          <w:numId w:val="1"/>
        </w:numPr>
        <w:spacing w:line="276" w:lineRule="auto"/>
        <w:rPr>
          <w:rFonts w:ascii="Times New Roman" w:hAnsi="Times New Roman" w:cs="Times New Roman"/>
          <w:sz w:val="28"/>
          <w:szCs w:val="28"/>
        </w:rPr>
      </w:pPr>
      <w:r w:rsidRPr="00005D71">
        <w:rPr>
          <w:rFonts w:ascii="Times New Roman" w:hAnsi="Times New Roman" w:cs="Times New Roman"/>
          <w:b/>
          <w:bCs/>
          <w:sz w:val="28"/>
          <w:szCs w:val="28"/>
        </w:rPr>
        <w:t>FEC</w:t>
      </w:r>
      <w:r w:rsidRPr="00005D71">
        <w:rPr>
          <w:rFonts w:ascii="Times New Roman" w:hAnsi="Times New Roman" w:cs="Times New Roman"/>
          <w:sz w:val="28"/>
          <w:szCs w:val="28"/>
        </w:rPr>
        <w:t xml:space="preserve"> – ________________________________________________________</w:t>
      </w:r>
    </w:p>
    <w:p w14:paraId="566088CC" w14:textId="3DA7FF51" w:rsidR="000B2728" w:rsidRPr="00005D71" w:rsidRDefault="000B2728" w:rsidP="00723DB5">
      <w:pPr>
        <w:pStyle w:val="ListParagraph"/>
        <w:numPr>
          <w:ilvl w:val="1"/>
          <w:numId w:val="1"/>
        </w:numPr>
        <w:spacing w:line="276" w:lineRule="auto"/>
        <w:rPr>
          <w:rFonts w:ascii="Times New Roman" w:hAnsi="Times New Roman" w:cs="Times New Roman"/>
          <w:sz w:val="28"/>
          <w:szCs w:val="28"/>
        </w:rPr>
      </w:pPr>
      <w:r w:rsidRPr="00005D71">
        <w:rPr>
          <w:rFonts w:ascii="Times New Roman" w:hAnsi="Times New Roman" w:cs="Times New Roman"/>
          <w:sz w:val="28"/>
          <w:szCs w:val="28"/>
        </w:rPr>
        <w:t>Intended to keep elections “</w:t>
      </w:r>
      <w:r w:rsidR="00723DB5" w:rsidRPr="00005D71">
        <w:rPr>
          <w:rFonts w:ascii="Times New Roman" w:hAnsi="Times New Roman" w:cs="Times New Roman"/>
          <w:sz w:val="28"/>
          <w:szCs w:val="28"/>
        </w:rPr>
        <w:t>_______________</w:t>
      </w:r>
      <w:r w:rsidRPr="00005D71">
        <w:rPr>
          <w:rFonts w:ascii="Times New Roman" w:hAnsi="Times New Roman" w:cs="Times New Roman"/>
          <w:sz w:val="28"/>
          <w:szCs w:val="28"/>
        </w:rPr>
        <w:t>”</w:t>
      </w:r>
    </w:p>
    <w:p w14:paraId="209EEF9D" w14:textId="196D768E" w:rsidR="000B2728" w:rsidRPr="00005D71" w:rsidRDefault="000B2728" w:rsidP="00723DB5">
      <w:pPr>
        <w:pStyle w:val="ListParagraph"/>
        <w:numPr>
          <w:ilvl w:val="1"/>
          <w:numId w:val="1"/>
        </w:numPr>
        <w:spacing w:line="276" w:lineRule="auto"/>
        <w:rPr>
          <w:rFonts w:ascii="Times New Roman" w:hAnsi="Times New Roman" w:cs="Times New Roman"/>
          <w:sz w:val="28"/>
          <w:szCs w:val="28"/>
        </w:rPr>
      </w:pPr>
      <w:r w:rsidRPr="00005D71">
        <w:rPr>
          <w:rFonts w:ascii="Times New Roman" w:hAnsi="Times New Roman" w:cs="Times New Roman"/>
          <w:sz w:val="28"/>
          <w:szCs w:val="28"/>
        </w:rPr>
        <w:t>Monitors the money flow in campaign donations and spending</w:t>
      </w:r>
    </w:p>
    <w:p w14:paraId="1769EB59" w14:textId="3B4437E8" w:rsidR="000B2728" w:rsidRDefault="000B2728" w:rsidP="00723DB5">
      <w:pPr>
        <w:pStyle w:val="ListParagraph"/>
        <w:numPr>
          <w:ilvl w:val="1"/>
          <w:numId w:val="1"/>
        </w:numPr>
        <w:spacing w:line="276" w:lineRule="auto"/>
        <w:rPr>
          <w:rFonts w:ascii="Times New Roman" w:hAnsi="Times New Roman" w:cs="Times New Roman"/>
          <w:sz w:val="28"/>
          <w:szCs w:val="28"/>
        </w:rPr>
      </w:pPr>
      <w:r w:rsidRPr="00005D71">
        <w:rPr>
          <w:rFonts w:ascii="Times New Roman" w:hAnsi="Times New Roman" w:cs="Times New Roman"/>
          <w:sz w:val="28"/>
          <w:szCs w:val="28"/>
        </w:rPr>
        <w:t>Places limits on contributions</w:t>
      </w:r>
    </w:p>
    <w:p w14:paraId="4321850A" w14:textId="77777777" w:rsidR="00005D71" w:rsidRPr="00005D71" w:rsidRDefault="00005D71" w:rsidP="00005D71">
      <w:pPr>
        <w:pStyle w:val="ListParagraph"/>
        <w:spacing w:line="276" w:lineRule="auto"/>
        <w:ind w:left="1440"/>
        <w:rPr>
          <w:rFonts w:ascii="Times New Roman" w:hAnsi="Times New Roman" w:cs="Times New Roman"/>
          <w:sz w:val="28"/>
          <w:szCs w:val="28"/>
        </w:rPr>
      </w:pPr>
    </w:p>
    <w:p w14:paraId="7DD79992" w14:textId="66185BA3" w:rsidR="000B2728" w:rsidRPr="00005D71" w:rsidRDefault="000B2728" w:rsidP="00723DB5">
      <w:pPr>
        <w:pStyle w:val="ListParagraph"/>
        <w:numPr>
          <w:ilvl w:val="0"/>
          <w:numId w:val="1"/>
        </w:numPr>
        <w:spacing w:line="276" w:lineRule="auto"/>
        <w:rPr>
          <w:rFonts w:ascii="Times New Roman" w:hAnsi="Times New Roman" w:cs="Times New Roman"/>
          <w:sz w:val="28"/>
          <w:szCs w:val="28"/>
        </w:rPr>
      </w:pPr>
      <w:r w:rsidRPr="00005D71">
        <w:rPr>
          <w:rFonts w:ascii="Times New Roman" w:hAnsi="Times New Roman" w:cs="Times New Roman"/>
          <w:b/>
          <w:bCs/>
          <w:sz w:val="28"/>
          <w:szCs w:val="28"/>
        </w:rPr>
        <w:t xml:space="preserve">Hard Money </w:t>
      </w:r>
      <w:r w:rsidRPr="00005D71">
        <w:rPr>
          <w:rFonts w:ascii="Times New Roman" w:hAnsi="Times New Roman" w:cs="Times New Roman"/>
          <w:sz w:val="28"/>
          <w:szCs w:val="28"/>
        </w:rPr>
        <w:t>– Campaign contributions given directly to ____________________</w:t>
      </w:r>
    </w:p>
    <w:p w14:paraId="4F805D3F" w14:textId="77F9AE97" w:rsidR="000B2728" w:rsidRDefault="000B2728" w:rsidP="00723DB5">
      <w:pPr>
        <w:pStyle w:val="ListParagraph"/>
        <w:numPr>
          <w:ilvl w:val="1"/>
          <w:numId w:val="1"/>
        </w:numPr>
        <w:spacing w:line="276" w:lineRule="auto"/>
        <w:rPr>
          <w:rFonts w:ascii="Times New Roman" w:hAnsi="Times New Roman" w:cs="Times New Roman"/>
          <w:sz w:val="28"/>
          <w:szCs w:val="28"/>
        </w:rPr>
      </w:pPr>
      <w:r w:rsidRPr="00005D71">
        <w:rPr>
          <w:rFonts w:ascii="Times New Roman" w:hAnsi="Times New Roman" w:cs="Times New Roman"/>
          <w:sz w:val="28"/>
          <w:szCs w:val="28"/>
        </w:rPr>
        <w:t>Regulated and limited by the federal government</w:t>
      </w:r>
    </w:p>
    <w:p w14:paraId="40ABCE84" w14:textId="77777777" w:rsidR="00005D71" w:rsidRPr="00005D71" w:rsidRDefault="00005D71" w:rsidP="00005D71">
      <w:pPr>
        <w:pStyle w:val="ListParagraph"/>
        <w:spacing w:line="276" w:lineRule="auto"/>
        <w:ind w:left="1440"/>
        <w:rPr>
          <w:rFonts w:ascii="Times New Roman" w:hAnsi="Times New Roman" w:cs="Times New Roman"/>
          <w:sz w:val="28"/>
          <w:szCs w:val="28"/>
        </w:rPr>
      </w:pPr>
    </w:p>
    <w:p w14:paraId="65B30D56" w14:textId="45A8CD38" w:rsidR="000B2728" w:rsidRPr="00005D71" w:rsidRDefault="000B2728" w:rsidP="00723DB5">
      <w:pPr>
        <w:pStyle w:val="ListParagraph"/>
        <w:numPr>
          <w:ilvl w:val="0"/>
          <w:numId w:val="1"/>
        </w:numPr>
        <w:spacing w:line="276" w:lineRule="auto"/>
        <w:rPr>
          <w:rFonts w:ascii="Times New Roman" w:hAnsi="Times New Roman" w:cs="Times New Roman"/>
          <w:sz w:val="28"/>
          <w:szCs w:val="28"/>
        </w:rPr>
      </w:pPr>
      <w:r w:rsidRPr="00005D71">
        <w:rPr>
          <w:rFonts w:ascii="Times New Roman" w:hAnsi="Times New Roman" w:cs="Times New Roman"/>
          <w:b/>
          <w:bCs/>
          <w:sz w:val="28"/>
          <w:szCs w:val="28"/>
        </w:rPr>
        <w:t>Soft Money</w:t>
      </w:r>
      <w:r w:rsidRPr="00005D71">
        <w:rPr>
          <w:rFonts w:ascii="Times New Roman" w:hAnsi="Times New Roman" w:cs="Times New Roman"/>
          <w:sz w:val="28"/>
          <w:szCs w:val="28"/>
        </w:rPr>
        <w:t xml:space="preserve"> – Contributions/money raised for generic “</w:t>
      </w:r>
      <w:r w:rsidR="00723DB5" w:rsidRPr="00005D71">
        <w:rPr>
          <w:rFonts w:ascii="Times New Roman" w:hAnsi="Times New Roman" w:cs="Times New Roman"/>
          <w:sz w:val="28"/>
          <w:szCs w:val="28"/>
        </w:rPr>
        <w:t>_________________________</w:t>
      </w:r>
      <w:r w:rsidRPr="00005D71">
        <w:rPr>
          <w:rFonts w:ascii="Times New Roman" w:hAnsi="Times New Roman" w:cs="Times New Roman"/>
          <w:sz w:val="28"/>
          <w:szCs w:val="28"/>
        </w:rPr>
        <w:t>”</w:t>
      </w:r>
    </w:p>
    <w:p w14:paraId="6B5400E0" w14:textId="6E6685A5" w:rsidR="000B2728" w:rsidRPr="00005D71" w:rsidRDefault="000B2728" w:rsidP="00723DB5">
      <w:pPr>
        <w:pStyle w:val="ListParagraph"/>
        <w:numPr>
          <w:ilvl w:val="1"/>
          <w:numId w:val="1"/>
        </w:numPr>
        <w:spacing w:line="276" w:lineRule="auto"/>
        <w:rPr>
          <w:rFonts w:ascii="Times New Roman" w:hAnsi="Times New Roman" w:cs="Times New Roman"/>
          <w:sz w:val="28"/>
          <w:szCs w:val="28"/>
        </w:rPr>
      </w:pPr>
      <w:r w:rsidRPr="00005D71">
        <w:rPr>
          <w:rFonts w:ascii="Times New Roman" w:hAnsi="Times New Roman" w:cs="Times New Roman"/>
          <w:sz w:val="28"/>
          <w:szCs w:val="28"/>
        </w:rPr>
        <w:t>Unregulated and unlimited amounts can be raised</w:t>
      </w:r>
    </w:p>
    <w:p w14:paraId="6E220DD7" w14:textId="7BA66433" w:rsidR="000B2728" w:rsidRPr="00005D71" w:rsidRDefault="000B2728" w:rsidP="00723DB5">
      <w:pPr>
        <w:pStyle w:val="ListParagraph"/>
        <w:numPr>
          <w:ilvl w:val="1"/>
          <w:numId w:val="1"/>
        </w:numPr>
        <w:spacing w:line="276" w:lineRule="auto"/>
        <w:rPr>
          <w:rFonts w:ascii="Times New Roman" w:hAnsi="Times New Roman" w:cs="Times New Roman"/>
          <w:sz w:val="28"/>
          <w:szCs w:val="28"/>
        </w:rPr>
      </w:pPr>
      <w:r w:rsidRPr="00005D71">
        <w:rPr>
          <w:rFonts w:ascii="Times New Roman" w:hAnsi="Times New Roman" w:cs="Times New Roman"/>
          <w:sz w:val="28"/>
          <w:szCs w:val="28"/>
          <w:u w:val="single"/>
        </w:rPr>
        <w:t>Examples</w:t>
      </w:r>
      <w:r w:rsidRPr="00005D71">
        <w:rPr>
          <w:rFonts w:ascii="Times New Roman" w:hAnsi="Times New Roman" w:cs="Times New Roman"/>
          <w:sz w:val="28"/>
          <w:szCs w:val="28"/>
        </w:rPr>
        <w:t>:</w:t>
      </w:r>
      <w:r w:rsidR="00723DB5" w:rsidRPr="00005D71">
        <w:rPr>
          <w:rFonts w:ascii="Times New Roman" w:hAnsi="Times New Roman" w:cs="Times New Roman"/>
          <w:sz w:val="28"/>
          <w:szCs w:val="28"/>
        </w:rPr>
        <w:br/>
      </w:r>
      <w:r w:rsidR="00723DB5" w:rsidRPr="00005D71">
        <w:rPr>
          <w:rFonts w:ascii="Times New Roman" w:hAnsi="Times New Roman" w:cs="Times New Roman"/>
          <w:sz w:val="28"/>
          <w:szCs w:val="28"/>
        </w:rPr>
        <w:br/>
      </w:r>
      <w:r w:rsidR="00723DB5" w:rsidRPr="00005D71">
        <w:rPr>
          <w:rFonts w:ascii="Times New Roman" w:hAnsi="Times New Roman" w:cs="Times New Roman"/>
          <w:sz w:val="28"/>
          <w:szCs w:val="28"/>
        </w:rPr>
        <w:br/>
      </w:r>
    </w:p>
    <w:p w14:paraId="19EE9677" w14:textId="77777777" w:rsidR="00FC1AEA" w:rsidRDefault="000B2728" w:rsidP="00723DB5">
      <w:pPr>
        <w:pStyle w:val="ListParagraph"/>
        <w:numPr>
          <w:ilvl w:val="0"/>
          <w:numId w:val="1"/>
        </w:numPr>
        <w:spacing w:line="276" w:lineRule="auto"/>
        <w:rPr>
          <w:rFonts w:ascii="Times New Roman" w:hAnsi="Times New Roman" w:cs="Times New Roman"/>
          <w:sz w:val="28"/>
          <w:szCs w:val="28"/>
        </w:rPr>
      </w:pPr>
      <w:r w:rsidRPr="00005D71">
        <w:rPr>
          <w:rFonts w:ascii="Times New Roman" w:hAnsi="Times New Roman" w:cs="Times New Roman"/>
          <w:b/>
          <w:bCs/>
          <w:sz w:val="28"/>
          <w:szCs w:val="28"/>
        </w:rPr>
        <w:t xml:space="preserve">Political Action Committee (PAC) </w:t>
      </w:r>
      <w:r w:rsidRPr="00005D71">
        <w:rPr>
          <w:rFonts w:ascii="Times New Roman" w:hAnsi="Times New Roman" w:cs="Times New Roman"/>
          <w:sz w:val="28"/>
          <w:szCs w:val="28"/>
        </w:rPr>
        <w:t>–</w:t>
      </w:r>
    </w:p>
    <w:p w14:paraId="2E0B4FAD" w14:textId="77777777" w:rsidR="00FC1AEA" w:rsidRDefault="00FC1AEA" w:rsidP="00FC1AEA">
      <w:pPr>
        <w:spacing w:line="276" w:lineRule="auto"/>
        <w:rPr>
          <w:rFonts w:ascii="Times New Roman" w:hAnsi="Times New Roman" w:cs="Times New Roman"/>
          <w:sz w:val="28"/>
          <w:szCs w:val="28"/>
        </w:rPr>
      </w:pPr>
    </w:p>
    <w:p w14:paraId="2B1A2382" w14:textId="77777777" w:rsidR="00FC1AEA" w:rsidRDefault="00FC1AEA" w:rsidP="00FC1AEA">
      <w:pPr>
        <w:spacing w:line="276" w:lineRule="auto"/>
        <w:rPr>
          <w:rFonts w:ascii="Times New Roman" w:hAnsi="Times New Roman" w:cs="Times New Roman"/>
          <w:sz w:val="28"/>
          <w:szCs w:val="28"/>
        </w:rPr>
      </w:pPr>
    </w:p>
    <w:p w14:paraId="475F66C0" w14:textId="1C148647" w:rsidR="000B2728" w:rsidRPr="00FC1AEA" w:rsidRDefault="00FC1AEA" w:rsidP="00FC1AEA">
      <w:pPr>
        <w:pStyle w:val="ListParagraph"/>
        <w:numPr>
          <w:ilvl w:val="0"/>
          <w:numId w:val="1"/>
        </w:numPr>
        <w:spacing w:line="276" w:lineRule="auto"/>
        <w:rPr>
          <w:rFonts w:ascii="Times New Roman" w:hAnsi="Times New Roman" w:cs="Times New Roman"/>
          <w:sz w:val="28"/>
          <w:szCs w:val="28"/>
        </w:rPr>
      </w:pPr>
      <w:r>
        <w:rPr>
          <w:rFonts w:ascii="Times New Roman" w:hAnsi="Times New Roman" w:cs="Times New Roman"/>
          <w:b/>
          <w:bCs/>
          <w:sz w:val="28"/>
          <w:szCs w:val="28"/>
        </w:rPr>
        <w:t xml:space="preserve">Super PACs </w:t>
      </w:r>
      <w:r>
        <w:rPr>
          <w:rFonts w:ascii="Times New Roman" w:hAnsi="Times New Roman" w:cs="Times New Roman"/>
          <w:sz w:val="28"/>
          <w:szCs w:val="28"/>
        </w:rPr>
        <w:t>– May not make contributions directly to candidates, campaigns, or parties, but instead may engage in unlimited spending independently for or against candidates or causes.</w:t>
      </w:r>
      <w:r w:rsidR="00723DB5" w:rsidRPr="00FC1AEA">
        <w:rPr>
          <w:rFonts w:ascii="Times New Roman" w:hAnsi="Times New Roman" w:cs="Times New Roman"/>
          <w:sz w:val="28"/>
          <w:szCs w:val="28"/>
        </w:rPr>
        <w:br/>
      </w:r>
      <w:r w:rsidR="00723DB5" w:rsidRPr="00FC1AEA">
        <w:rPr>
          <w:rFonts w:ascii="Times New Roman" w:hAnsi="Times New Roman" w:cs="Times New Roman"/>
          <w:sz w:val="28"/>
          <w:szCs w:val="28"/>
        </w:rPr>
        <w:br/>
      </w:r>
    </w:p>
    <w:p w14:paraId="3E98CD73" w14:textId="565A88DB" w:rsidR="000B2728" w:rsidRPr="00005D71" w:rsidRDefault="000B2728" w:rsidP="00723DB5">
      <w:pPr>
        <w:pStyle w:val="ListParagraph"/>
        <w:numPr>
          <w:ilvl w:val="0"/>
          <w:numId w:val="1"/>
        </w:numPr>
        <w:spacing w:line="276" w:lineRule="auto"/>
        <w:rPr>
          <w:rFonts w:ascii="Times New Roman" w:hAnsi="Times New Roman" w:cs="Times New Roman"/>
          <w:sz w:val="28"/>
          <w:szCs w:val="28"/>
        </w:rPr>
      </w:pPr>
      <w:r w:rsidRPr="00005D71">
        <w:rPr>
          <w:rFonts w:ascii="Times New Roman" w:hAnsi="Times New Roman" w:cs="Times New Roman"/>
          <w:b/>
          <w:bCs/>
          <w:sz w:val="28"/>
          <w:szCs w:val="28"/>
        </w:rPr>
        <w:lastRenderedPageBreak/>
        <w:t>Bipartisan Campaign Reform Act of 2002 (BCRA)</w:t>
      </w:r>
      <w:r w:rsidRPr="00005D71">
        <w:rPr>
          <w:rFonts w:ascii="Times New Roman" w:hAnsi="Times New Roman" w:cs="Times New Roman"/>
          <w:sz w:val="28"/>
          <w:szCs w:val="28"/>
        </w:rPr>
        <w:t xml:space="preserve"> – A campaign finance reform act intended to…</w:t>
      </w:r>
    </w:p>
    <w:p w14:paraId="6A410DED" w14:textId="013657F7" w:rsidR="000B2728" w:rsidRPr="00005D71" w:rsidRDefault="000B2728" w:rsidP="00723DB5">
      <w:pPr>
        <w:pStyle w:val="ListParagraph"/>
        <w:numPr>
          <w:ilvl w:val="1"/>
          <w:numId w:val="1"/>
        </w:numPr>
        <w:spacing w:line="276" w:lineRule="auto"/>
        <w:rPr>
          <w:rFonts w:ascii="Times New Roman" w:hAnsi="Times New Roman" w:cs="Times New Roman"/>
          <w:sz w:val="28"/>
          <w:szCs w:val="28"/>
        </w:rPr>
      </w:pPr>
      <w:r w:rsidRPr="00005D71">
        <w:rPr>
          <w:rFonts w:ascii="Times New Roman" w:hAnsi="Times New Roman" w:cs="Times New Roman"/>
          <w:sz w:val="28"/>
          <w:szCs w:val="28"/>
        </w:rPr>
        <w:t>Ban “soft money” contributions to national political parties from corporations</w:t>
      </w:r>
    </w:p>
    <w:p w14:paraId="1CD952CF" w14:textId="21699516" w:rsidR="000B2728" w:rsidRPr="00005D71" w:rsidRDefault="000B2728" w:rsidP="00723DB5">
      <w:pPr>
        <w:pStyle w:val="ListParagraph"/>
        <w:numPr>
          <w:ilvl w:val="1"/>
          <w:numId w:val="1"/>
        </w:numPr>
        <w:spacing w:line="276" w:lineRule="auto"/>
        <w:rPr>
          <w:rFonts w:ascii="Times New Roman" w:hAnsi="Times New Roman" w:cs="Times New Roman"/>
          <w:sz w:val="28"/>
          <w:szCs w:val="28"/>
        </w:rPr>
      </w:pPr>
      <w:r w:rsidRPr="00005D71">
        <w:rPr>
          <w:rFonts w:ascii="Times New Roman" w:hAnsi="Times New Roman" w:cs="Times New Roman"/>
          <w:sz w:val="28"/>
          <w:szCs w:val="28"/>
        </w:rPr>
        <w:t>Prohibit “electioneering communications” 30 or 60 days before an election</w:t>
      </w:r>
    </w:p>
    <w:p w14:paraId="6A8920FD" w14:textId="583DAC87" w:rsidR="00633EE2" w:rsidRPr="00005D71" w:rsidRDefault="00633EE2" w:rsidP="00723DB5">
      <w:pPr>
        <w:pStyle w:val="ListParagraph"/>
        <w:numPr>
          <w:ilvl w:val="2"/>
          <w:numId w:val="1"/>
        </w:numPr>
        <w:spacing w:line="276" w:lineRule="auto"/>
        <w:rPr>
          <w:rFonts w:ascii="Times New Roman" w:hAnsi="Times New Roman" w:cs="Times New Roman"/>
          <w:sz w:val="28"/>
          <w:szCs w:val="28"/>
        </w:rPr>
      </w:pPr>
      <w:r w:rsidRPr="00005D71">
        <w:rPr>
          <w:rFonts w:ascii="Times New Roman" w:hAnsi="Times New Roman" w:cs="Times New Roman"/>
          <w:sz w:val="28"/>
          <w:szCs w:val="28"/>
        </w:rPr>
        <w:t xml:space="preserve">In other </w:t>
      </w:r>
      <w:proofErr w:type="gramStart"/>
      <w:r w:rsidRPr="00005D71">
        <w:rPr>
          <w:rFonts w:ascii="Times New Roman" w:hAnsi="Times New Roman" w:cs="Times New Roman"/>
          <w:sz w:val="28"/>
          <w:szCs w:val="28"/>
        </w:rPr>
        <w:t>words</w:t>
      </w:r>
      <w:proofErr w:type="gramEnd"/>
      <w:r w:rsidRPr="00005D71">
        <w:rPr>
          <w:rFonts w:ascii="Times New Roman" w:hAnsi="Times New Roman" w:cs="Times New Roman"/>
          <w:sz w:val="28"/>
          <w:szCs w:val="28"/>
        </w:rPr>
        <w:t>… you can’t broadcast ads mentioning a candidate 30 or 60 days before an election</w:t>
      </w:r>
    </w:p>
    <w:p w14:paraId="77FAB481" w14:textId="3164344B" w:rsidR="00633EE2" w:rsidRPr="00005D71" w:rsidRDefault="00633EE2" w:rsidP="00723DB5">
      <w:pPr>
        <w:pStyle w:val="ListParagraph"/>
        <w:numPr>
          <w:ilvl w:val="1"/>
          <w:numId w:val="1"/>
        </w:numPr>
        <w:spacing w:line="276" w:lineRule="auto"/>
        <w:rPr>
          <w:rFonts w:ascii="Times New Roman" w:hAnsi="Times New Roman" w:cs="Times New Roman"/>
          <w:sz w:val="28"/>
          <w:szCs w:val="28"/>
        </w:rPr>
      </w:pPr>
      <w:r w:rsidRPr="003E67BB">
        <w:rPr>
          <w:rFonts w:ascii="Times New Roman" w:hAnsi="Times New Roman" w:cs="Times New Roman"/>
          <w:b/>
          <w:bCs/>
          <w:sz w:val="28"/>
          <w:szCs w:val="28"/>
        </w:rPr>
        <w:t>“Stand by your ad”</w:t>
      </w:r>
      <w:r w:rsidRPr="00005D71">
        <w:rPr>
          <w:rFonts w:ascii="Times New Roman" w:hAnsi="Times New Roman" w:cs="Times New Roman"/>
          <w:sz w:val="28"/>
          <w:szCs w:val="28"/>
        </w:rPr>
        <w:t xml:space="preserve"> Provision requires candidates to endorse ads in order to discourage “attack ads” or unsupported claims.</w:t>
      </w:r>
    </w:p>
    <w:p w14:paraId="6C36EFFE" w14:textId="5F242DB3" w:rsidR="00633EE2" w:rsidRPr="00005D71" w:rsidRDefault="00633EE2" w:rsidP="00723DB5">
      <w:pPr>
        <w:pStyle w:val="ListParagraph"/>
        <w:numPr>
          <w:ilvl w:val="1"/>
          <w:numId w:val="1"/>
        </w:numPr>
        <w:spacing w:line="276" w:lineRule="auto"/>
        <w:rPr>
          <w:rFonts w:ascii="Times New Roman" w:hAnsi="Times New Roman" w:cs="Times New Roman"/>
          <w:sz w:val="28"/>
          <w:szCs w:val="28"/>
        </w:rPr>
      </w:pPr>
      <w:r w:rsidRPr="00005D71">
        <w:rPr>
          <w:rFonts w:ascii="Times New Roman" w:hAnsi="Times New Roman" w:cs="Times New Roman"/>
          <w:sz w:val="28"/>
          <w:szCs w:val="28"/>
        </w:rPr>
        <w:t xml:space="preserve">**Parts of this would later be overturned by </w:t>
      </w:r>
      <w:r w:rsidRPr="00005D71">
        <w:rPr>
          <w:rFonts w:ascii="Times New Roman" w:hAnsi="Times New Roman" w:cs="Times New Roman"/>
          <w:i/>
          <w:iCs/>
          <w:sz w:val="28"/>
          <w:szCs w:val="28"/>
        </w:rPr>
        <w:t>Citizens United v. FEC (2010)</w:t>
      </w:r>
      <w:r w:rsidR="00723DB5" w:rsidRPr="00005D71">
        <w:rPr>
          <w:rFonts w:ascii="Times New Roman" w:hAnsi="Times New Roman" w:cs="Times New Roman"/>
          <w:i/>
          <w:iCs/>
          <w:sz w:val="28"/>
          <w:szCs w:val="28"/>
        </w:rPr>
        <w:br/>
      </w:r>
    </w:p>
    <w:p w14:paraId="0B8C9C2E" w14:textId="7C9828BB" w:rsidR="00633EE2" w:rsidRPr="00005D71" w:rsidRDefault="00633EE2" w:rsidP="00723DB5">
      <w:pPr>
        <w:pStyle w:val="ListParagraph"/>
        <w:numPr>
          <w:ilvl w:val="0"/>
          <w:numId w:val="1"/>
        </w:numPr>
        <w:spacing w:line="276" w:lineRule="auto"/>
        <w:rPr>
          <w:rFonts w:ascii="Times New Roman" w:hAnsi="Times New Roman" w:cs="Times New Roman"/>
          <w:sz w:val="28"/>
          <w:szCs w:val="28"/>
        </w:rPr>
      </w:pPr>
      <w:r w:rsidRPr="00005D71">
        <w:rPr>
          <w:rFonts w:ascii="Times New Roman" w:hAnsi="Times New Roman" w:cs="Times New Roman"/>
          <w:b/>
          <w:bCs/>
          <w:i/>
          <w:iCs/>
          <w:sz w:val="28"/>
          <w:szCs w:val="28"/>
        </w:rPr>
        <w:t xml:space="preserve">Buckley v. </w:t>
      </w:r>
      <w:proofErr w:type="spellStart"/>
      <w:r w:rsidRPr="00005D71">
        <w:rPr>
          <w:rFonts w:ascii="Times New Roman" w:hAnsi="Times New Roman" w:cs="Times New Roman"/>
          <w:b/>
          <w:bCs/>
          <w:i/>
          <w:iCs/>
          <w:sz w:val="28"/>
          <w:szCs w:val="28"/>
        </w:rPr>
        <w:t>Valeo</w:t>
      </w:r>
      <w:proofErr w:type="spellEnd"/>
      <w:r w:rsidRPr="00005D71">
        <w:rPr>
          <w:rFonts w:ascii="Times New Roman" w:hAnsi="Times New Roman" w:cs="Times New Roman"/>
          <w:b/>
          <w:bCs/>
          <w:i/>
          <w:iCs/>
          <w:sz w:val="28"/>
          <w:szCs w:val="28"/>
        </w:rPr>
        <w:t xml:space="preserve"> (1976)</w:t>
      </w:r>
      <w:r w:rsidRPr="00005D71">
        <w:rPr>
          <w:rFonts w:ascii="Times New Roman" w:hAnsi="Times New Roman" w:cs="Times New Roman"/>
          <w:i/>
          <w:iCs/>
          <w:sz w:val="28"/>
          <w:szCs w:val="28"/>
        </w:rPr>
        <w:t xml:space="preserve"> –</w:t>
      </w:r>
      <w:r w:rsidRPr="00005D71">
        <w:rPr>
          <w:rFonts w:ascii="Times New Roman" w:hAnsi="Times New Roman" w:cs="Times New Roman"/>
          <w:sz w:val="28"/>
          <w:szCs w:val="28"/>
        </w:rPr>
        <w:t xml:space="preserve"> Money spent financing campaigns classified as “free speech,” resulting in candidates being able to spend unlimited amounts of their own money to finance their campaigns.</w:t>
      </w:r>
    </w:p>
    <w:p w14:paraId="745F9028" w14:textId="09FA0BDD" w:rsidR="00633EE2" w:rsidRPr="00005D71" w:rsidRDefault="00633EE2" w:rsidP="00723DB5">
      <w:pPr>
        <w:pStyle w:val="ListParagraph"/>
        <w:numPr>
          <w:ilvl w:val="0"/>
          <w:numId w:val="1"/>
        </w:numPr>
        <w:spacing w:line="276" w:lineRule="auto"/>
        <w:rPr>
          <w:rFonts w:ascii="Times New Roman" w:hAnsi="Times New Roman" w:cs="Times New Roman"/>
          <w:sz w:val="28"/>
          <w:szCs w:val="28"/>
        </w:rPr>
      </w:pPr>
      <w:r w:rsidRPr="00005D71">
        <w:rPr>
          <w:rFonts w:ascii="Times New Roman" w:hAnsi="Times New Roman" w:cs="Times New Roman"/>
          <w:b/>
          <w:bCs/>
          <w:i/>
          <w:iCs/>
          <w:sz w:val="28"/>
          <w:szCs w:val="28"/>
        </w:rPr>
        <w:t>McConnel v.</w:t>
      </w:r>
      <w:r w:rsidRPr="00005D71">
        <w:rPr>
          <w:rFonts w:ascii="Times New Roman" w:hAnsi="Times New Roman" w:cs="Times New Roman"/>
          <w:sz w:val="28"/>
          <w:szCs w:val="28"/>
        </w:rPr>
        <w:t xml:space="preserve"> </w:t>
      </w:r>
      <w:r w:rsidRPr="00005D71">
        <w:rPr>
          <w:rFonts w:ascii="Times New Roman" w:hAnsi="Times New Roman" w:cs="Times New Roman"/>
          <w:b/>
          <w:bCs/>
          <w:i/>
          <w:iCs/>
          <w:sz w:val="28"/>
          <w:szCs w:val="28"/>
        </w:rPr>
        <w:t>FEC (2003)</w:t>
      </w:r>
      <w:r w:rsidRPr="00005D71">
        <w:rPr>
          <w:rFonts w:ascii="Times New Roman" w:hAnsi="Times New Roman" w:cs="Times New Roman"/>
          <w:sz w:val="28"/>
          <w:szCs w:val="28"/>
        </w:rPr>
        <w:t xml:space="preserve"> – BCRA upheld and restrictions on “free speech” justified by government’s interest in preventing corruption in the</w:t>
      </w:r>
      <w:r w:rsidR="00FD0DF2" w:rsidRPr="00005D71">
        <w:rPr>
          <w:rFonts w:ascii="Times New Roman" w:hAnsi="Times New Roman" w:cs="Times New Roman"/>
          <w:sz w:val="28"/>
          <w:szCs w:val="28"/>
        </w:rPr>
        <w:t xml:space="preserve"> democratic process</w:t>
      </w:r>
    </w:p>
    <w:p w14:paraId="58A5DCF9" w14:textId="77777777" w:rsidR="00723DB5" w:rsidRPr="00005D71" w:rsidRDefault="00723DB5" w:rsidP="00723DB5">
      <w:pPr>
        <w:pStyle w:val="ListParagraph"/>
        <w:spacing w:line="276" w:lineRule="auto"/>
        <w:rPr>
          <w:rFonts w:ascii="Times New Roman" w:hAnsi="Times New Roman" w:cs="Times New Roman"/>
          <w:sz w:val="28"/>
          <w:szCs w:val="28"/>
        </w:rPr>
      </w:pPr>
    </w:p>
    <w:p w14:paraId="13697813" w14:textId="23EC5E1A" w:rsidR="00FD0DF2" w:rsidRPr="00005D71" w:rsidRDefault="00FD0DF2" w:rsidP="00723DB5">
      <w:pPr>
        <w:pStyle w:val="ListParagraph"/>
        <w:numPr>
          <w:ilvl w:val="0"/>
          <w:numId w:val="1"/>
        </w:numPr>
        <w:spacing w:line="276" w:lineRule="auto"/>
        <w:rPr>
          <w:rFonts w:ascii="Times New Roman" w:hAnsi="Times New Roman" w:cs="Times New Roman"/>
          <w:sz w:val="28"/>
          <w:szCs w:val="28"/>
          <w:u w:val="single"/>
        </w:rPr>
      </w:pPr>
      <w:r w:rsidRPr="00005D71">
        <w:rPr>
          <w:rFonts w:ascii="Times New Roman" w:hAnsi="Times New Roman" w:cs="Times New Roman"/>
          <w:b/>
          <w:bCs/>
          <w:i/>
          <w:iCs/>
          <w:sz w:val="28"/>
          <w:szCs w:val="28"/>
          <w:u w:val="single"/>
        </w:rPr>
        <w:t>Citizens United v. FEC (2010)</w:t>
      </w:r>
      <w:r w:rsidRPr="00005D71">
        <w:rPr>
          <w:rFonts w:ascii="Times New Roman" w:hAnsi="Times New Roman" w:cs="Times New Roman"/>
          <w:sz w:val="28"/>
          <w:szCs w:val="28"/>
          <w:u w:val="single"/>
        </w:rPr>
        <w:t xml:space="preserve"> – </w:t>
      </w:r>
      <w:r w:rsidR="00723DB5" w:rsidRPr="00005D71">
        <w:rPr>
          <w:rFonts w:ascii="Times New Roman" w:hAnsi="Times New Roman" w:cs="Times New Roman"/>
          <w:sz w:val="28"/>
          <w:szCs w:val="28"/>
          <w:u w:val="single"/>
        </w:rPr>
        <w:t>[SCOTUS Case for AP Exam]</w:t>
      </w:r>
    </w:p>
    <w:p w14:paraId="081CCBF1" w14:textId="11AF3B6A" w:rsidR="00FD0DF2" w:rsidRPr="00005D71" w:rsidRDefault="00FD0DF2" w:rsidP="00723DB5">
      <w:pPr>
        <w:pStyle w:val="ListParagraph"/>
        <w:numPr>
          <w:ilvl w:val="1"/>
          <w:numId w:val="1"/>
        </w:numPr>
        <w:spacing w:line="276" w:lineRule="auto"/>
        <w:rPr>
          <w:rFonts w:ascii="Times New Roman" w:hAnsi="Times New Roman" w:cs="Times New Roman"/>
          <w:sz w:val="28"/>
          <w:szCs w:val="28"/>
        </w:rPr>
      </w:pPr>
      <w:r w:rsidRPr="00005D71">
        <w:rPr>
          <w:rFonts w:ascii="Times New Roman" w:hAnsi="Times New Roman" w:cs="Times New Roman"/>
          <w:b/>
          <w:bCs/>
          <w:i/>
          <w:iCs/>
          <w:sz w:val="28"/>
          <w:szCs w:val="28"/>
        </w:rPr>
        <w:t>Background/Facts of the Case</w:t>
      </w:r>
      <w:r w:rsidRPr="00005D71">
        <w:rPr>
          <w:rFonts w:ascii="Times New Roman" w:hAnsi="Times New Roman" w:cs="Times New Roman"/>
          <w:sz w:val="28"/>
          <w:szCs w:val="28"/>
        </w:rPr>
        <w:t>:</w:t>
      </w:r>
      <w:r w:rsidRPr="00005D71">
        <w:rPr>
          <w:rFonts w:ascii="Times New Roman" w:hAnsi="Times New Roman" w:cs="Times New Roman"/>
          <w:b/>
          <w:bCs/>
          <w:sz w:val="28"/>
          <w:szCs w:val="28"/>
        </w:rPr>
        <w:t xml:space="preserve"> </w:t>
      </w:r>
      <w:r w:rsidRPr="00005D71">
        <w:rPr>
          <w:rFonts w:ascii="Times New Roman" w:hAnsi="Times New Roman" w:cs="Times New Roman"/>
          <w:sz w:val="28"/>
          <w:szCs w:val="28"/>
        </w:rPr>
        <w:t xml:space="preserve">Citizens United, a conservative group, wanted to prevent BCRA from </w:t>
      </w:r>
      <w:r w:rsidR="003E67BB">
        <w:rPr>
          <w:rFonts w:ascii="Times New Roman" w:hAnsi="Times New Roman" w:cs="Times New Roman"/>
          <w:sz w:val="28"/>
          <w:szCs w:val="28"/>
        </w:rPr>
        <w:t>being applied to</w:t>
      </w:r>
      <w:r w:rsidRPr="00005D71">
        <w:rPr>
          <w:rFonts w:ascii="Times New Roman" w:hAnsi="Times New Roman" w:cs="Times New Roman"/>
          <w:sz w:val="28"/>
          <w:szCs w:val="28"/>
        </w:rPr>
        <w:t xml:space="preserve"> their film, </w:t>
      </w:r>
      <w:r w:rsidR="00723DB5" w:rsidRPr="00005D71">
        <w:rPr>
          <w:rFonts w:ascii="Times New Roman" w:hAnsi="Times New Roman" w:cs="Times New Roman"/>
          <w:i/>
          <w:iCs/>
          <w:sz w:val="28"/>
          <w:szCs w:val="28"/>
        </w:rPr>
        <w:t>Hillary: The</w:t>
      </w:r>
      <w:r w:rsidRPr="00005D71">
        <w:rPr>
          <w:rFonts w:ascii="Times New Roman" w:hAnsi="Times New Roman" w:cs="Times New Roman"/>
          <w:i/>
          <w:iCs/>
          <w:sz w:val="28"/>
          <w:szCs w:val="28"/>
        </w:rPr>
        <w:t xml:space="preserve"> Movie</w:t>
      </w:r>
      <w:r w:rsidRPr="00005D71">
        <w:rPr>
          <w:rFonts w:ascii="Times New Roman" w:hAnsi="Times New Roman" w:cs="Times New Roman"/>
          <w:sz w:val="28"/>
          <w:szCs w:val="28"/>
        </w:rPr>
        <w:t xml:space="preserve">, </w:t>
      </w:r>
      <w:r w:rsidR="003E67BB">
        <w:rPr>
          <w:rFonts w:ascii="Times New Roman" w:hAnsi="Times New Roman" w:cs="Times New Roman"/>
          <w:sz w:val="28"/>
          <w:szCs w:val="28"/>
        </w:rPr>
        <w:t>placing regulations on the film</w:t>
      </w:r>
      <w:r w:rsidRPr="00005D71">
        <w:rPr>
          <w:rFonts w:ascii="Times New Roman" w:hAnsi="Times New Roman" w:cs="Times New Roman"/>
          <w:sz w:val="28"/>
          <w:szCs w:val="28"/>
        </w:rPr>
        <w:t xml:space="preserve"> </w:t>
      </w:r>
      <w:r w:rsidR="003E67BB">
        <w:rPr>
          <w:rFonts w:ascii="Times New Roman" w:hAnsi="Times New Roman" w:cs="Times New Roman"/>
          <w:sz w:val="28"/>
          <w:szCs w:val="28"/>
        </w:rPr>
        <w:t>treating it as</w:t>
      </w:r>
      <w:r w:rsidRPr="00005D71">
        <w:rPr>
          <w:rFonts w:ascii="Times New Roman" w:hAnsi="Times New Roman" w:cs="Times New Roman"/>
          <w:sz w:val="28"/>
          <w:szCs w:val="28"/>
        </w:rPr>
        <w:t xml:space="preserve"> “electioneering communications.” Section 203 of BCRA prevents corporations or labor unions from “funding such communication from their general treasuries.” Sections 201 and 311 require the disclosure of financial contributors. </w:t>
      </w:r>
      <w:r w:rsidR="00723DB5" w:rsidRPr="00005D71">
        <w:rPr>
          <w:rFonts w:ascii="Times New Roman" w:hAnsi="Times New Roman" w:cs="Times New Roman"/>
          <w:sz w:val="28"/>
          <w:szCs w:val="28"/>
        </w:rPr>
        <w:br/>
      </w:r>
    </w:p>
    <w:p w14:paraId="215C73C2" w14:textId="77777777" w:rsidR="00723DB5" w:rsidRPr="003E67BB" w:rsidRDefault="00FD0DF2" w:rsidP="00723DB5">
      <w:pPr>
        <w:pStyle w:val="ListParagraph"/>
        <w:numPr>
          <w:ilvl w:val="1"/>
          <w:numId w:val="1"/>
        </w:numPr>
        <w:spacing w:line="276" w:lineRule="auto"/>
        <w:rPr>
          <w:rFonts w:ascii="Times New Roman" w:hAnsi="Times New Roman" w:cs="Times New Roman"/>
          <w:sz w:val="28"/>
          <w:szCs w:val="28"/>
        </w:rPr>
      </w:pPr>
      <w:r w:rsidRPr="00005D71">
        <w:rPr>
          <w:rFonts w:ascii="Times New Roman" w:hAnsi="Times New Roman" w:cs="Times New Roman"/>
          <w:b/>
          <w:bCs/>
          <w:i/>
          <w:iCs/>
          <w:sz w:val="28"/>
          <w:szCs w:val="28"/>
        </w:rPr>
        <w:t xml:space="preserve">Arguments: </w:t>
      </w:r>
      <w:r w:rsidRPr="003E67BB">
        <w:rPr>
          <w:rFonts w:ascii="Times New Roman" w:hAnsi="Times New Roman" w:cs="Times New Roman"/>
          <w:sz w:val="28"/>
          <w:szCs w:val="28"/>
        </w:rPr>
        <w:t>Citizens United</w:t>
      </w:r>
      <w:r w:rsidR="00723DB5" w:rsidRPr="003E67BB">
        <w:rPr>
          <w:rFonts w:ascii="Times New Roman" w:hAnsi="Times New Roman" w:cs="Times New Roman"/>
          <w:sz w:val="28"/>
          <w:szCs w:val="28"/>
        </w:rPr>
        <w:t xml:space="preserve"> (the group)</w:t>
      </w:r>
      <w:r w:rsidRPr="003E67BB">
        <w:rPr>
          <w:rFonts w:ascii="Times New Roman" w:hAnsi="Times New Roman" w:cs="Times New Roman"/>
          <w:sz w:val="28"/>
          <w:szCs w:val="28"/>
        </w:rPr>
        <w:t xml:space="preserve"> argued that</w:t>
      </w:r>
      <w:r w:rsidR="00723DB5" w:rsidRPr="003E67BB">
        <w:rPr>
          <w:rFonts w:ascii="Times New Roman" w:hAnsi="Times New Roman" w:cs="Times New Roman"/>
          <w:sz w:val="28"/>
          <w:szCs w:val="28"/>
        </w:rPr>
        <w:t>:</w:t>
      </w:r>
      <w:r w:rsidR="00723DB5" w:rsidRPr="003E67BB">
        <w:rPr>
          <w:rFonts w:ascii="Times New Roman" w:hAnsi="Times New Roman" w:cs="Times New Roman"/>
          <w:sz w:val="28"/>
          <w:szCs w:val="28"/>
        </w:rPr>
        <w:br/>
      </w:r>
      <w:r w:rsidRPr="003E67BB">
        <w:rPr>
          <w:rFonts w:ascii="Times New Roman" w:hAnsi="Times New Roman" w:cs="Times New Roman"/>
          <w:sz w:val="28"/>
          <w:szCs w:val="28"/>
        </w:rPr>
        <w:t xml:space="preserve">1.) Section 203 violates the First Amendment and that </w:t>
      </w:r>
      <w:r w:rsidR="00723DB5" w:rsidRPr="003E67BB">
        <w:rPr>
          <w:rFonts w:ascii="Times New Roman" w:hAnsi="Times New Roman" w:cs="Times New Roman"/>
          <w:sz w:val="28"/>
          <w:szCs w:val="28"/>
        </w:rPr>
        <w:br/>
      </w:r>
      <w:r w:rsidRPr="003E67BB">
        <w:rPr>
          <w:rFonts w:ascii="Times New Roman" w:hAnsi="Times New Roman" w:cs="Times New Roman"/>
          <w:sz w:val="28"/>
          <w:szCs w:val="28"/>
        </w:rPr>
        <w:t>2.) Sections 201 and 203 are also unconstitutional within the context of their case.</w:t>
      </w:r>
    </w:p>
    <w:p w14:paraId="6C011601" w14:textId="2686D87B" w:rsidR="00FD0DF2" w:rsidRPr="00005D71" w:rsidRDefault="00FD0DF2" w:rsidP="00723DB5">
      <w:pPr>
        <w:pStyle w:val="ListParagraph"/>
        <w:spacing w:line="276" w:lineRule="auto"/>
        <w:ind w:left="2160"/>
        <w:rPr>
          <w:rFonts w:ascii="Times New Roman" w:hAnsi="Times New Roman" w:cs="Times New Roman"/>
          <w:sz w:val="28"/>
          <w:szCs w:val="28"/>
        </w:rPr>
      </w:pPr>
      <w:r w:rsidRPr="003E67BB">
        <w:rPr>
          <w:rFonts w:ascii="Times New Roman" w:hAnsi="Times New Roman" w:cs="Times New Roman"/>
          <w:sz w:val="28"/>
          <w:szCs w:val="28"/>
          <w:u w:val="single"/>
        </w:rPr>
        <w:lastRenderedPageBreak/>
        <w:t>The United States District Court</w:t>
      </w:r>
      <w:r w:rsidRPr="003E67BB">
        <w:rPr>
          <w:rFonts w:ascii="Times New Roman" w:hAnsi="Times New Roman" w:cs="Times New Roman"/>
          <w:sz w:val="28"/>
          <w:szCs w:val="28"/>
        </w:rPr>
        <w:t xml:space="preserve"> denied the injunction citing that the Supreme Court had already reached that determinization in</w:t>
      </w:r>
      <w:r w:rsidRPr="00005D71">
        <w:rPr>
          <w:rFonts w:ascii="Times New Roman" w:hAnsi="Times New Roman" w:cs="Times New Roman"/>
          <w:i/>
          <w:iCs/>
          <w:sz w:val="28"/>
          <w:szCs w:val="28"/>
        </w:rPr>
        <w:t xml:space="preserve"> </w:t>
      </w:r>
      <w:r w:rsidRPr="003E67BB">
        <w:rPr>
          <w:rFonts w:ascii="Times New Roman" w:hAnsi="Times New Roman" w:cs="Times New Roman"/>
          <w:i/>
          <w:iCs/>
          <w:sz w:val="28"/>
          <w:szCs w:val="28"/>
        </w:rPr>
        <w:t>McConnel v. FEC</w:t>
      </w:r>
      <w:r w:rsidR="00005D71" w:rsidRPr="003E67BB">
        <w:rPr>
          <w:rFonts w:ascii="Times New Roman" w:hAnsi="Times New Roman" w:cs="Times New Roman"/>
          <w:i/>
          <w:iCs/>
          <w:sz w:val="28"/>
          <w:szCs w:val="28"/>
        </w:rPr>
        <w:t xml:space="preserve"> (2003)</w:t>
      </w:r>
      <w:r w:rsidR="00144AE5" w:rsidRPr="00005D71">
        <w:rPr>
          <w:rFonts w:ascii="Times New Roman" w:hAnsi="Times New Roman" w:cs="Times New Roman"/>
          <w:i/>
          <w:iCs/>
          <w:sz w:val="28"/>
          <w:szCs w:val="28"/>
        </w:rPr>
        <w:t xml:space="preserve"> </w:t>
      </w:r>
      <w:r w:rsidR="00144AE5" w:rsidRPr="003E67BB">
        <w:rPr>
          <w:rFonts w:ascii="Times New Roman" w:hAnsi="Times New Roman" w:cs="Times New Roman"/>
          <w:sz w:val="28"/>
          <w:szCs w:val="28"/>
        </w:rPr>
        <w:t>and that the movie was indeed an “electioneering communication” as it was intended to persuade voters that Senator Clinton was “unfit for office,” and thus Section 203 was not unconstitutionally applied to their case. The US District Court reasoned that the</w:t>
      </w:r>
      <w:r w:rsidR="00144AE5" w:rsidRPr="00005D71">
        <w:rPr>
          <w:rFonts w:ascii="Times New Roman" w:hAnsi="Times New Roman" w:cs="Times New Roman"/>
          <w:i/>
          <w:iCs/>
          <w:sz w:val="28"/>
          <w:szCs w:val="28"/>
        </w:rPr>
        <w:t xml:space="preserve"> McConnell</w:t>
      </w:r>
      <w:r w:rsidR="00144AE5" w:rsidRPr="00005D71">
        <w:rPr>
          <w:rFonts w:ascii="Times New Roman" w:hAnsi="Times New Roman" w:cs="Times New Roman"/>
          <w:sz w:val="28"/>
          <w:szCs w:val="28"/>
        </w:rPr>
        <w:t xml:space="preserve"> decision recognized that disclosure of donors “might be unconstitutional if it imposed an unconstitutional burden on the freedom to associate in support of a particular cause,” but in the case of Citizen’s United it did not.</w:t>
      </w:r>
      <w:r w:rsidR="003E67BB">
        <w:rPr>
          <w:rFonts w:ascii="Times New Roman" w:hAnsi="Times New Roman" w:cs="Times New Roman"/>
          <w:sz w:val="28"/>
          <w:szCs w:val="28"/>
        </w:rPr>
        <w:t xml:space="preserve"> The case was then taken up by the </w:t>
      </w:r>
      <w:r w:rsidR="003E67BB" w:rsidRPr="003E67BB">
        <w:rPr>
          <w:rFonts w:ascii="Times New Roman" w:hAnsi="Times New Roman" w:cs="Times New Roman"/>
          <w:sz w:val="28"/>
          <w:szCs w:val="28"/>
          <w:u w:val="single"/>
        </w:rPr>
        <w:t>US Supreme Court</w:t>
      </w:r>
      <w:r w:rsidR="003E67BB">
        <w:rPr>
          <w:rFonts w:ascii="Times New Roman" w:hAnsi="Times New Roman" w:cs="Times New Roman"/>
          <w:sz w:val="28"/>
          <w:szCs w:val="28"/>
        </w:rPr>
        <w:t>…</w:t>
      </w:r>
      <w:r w:rsidR="00723DB5" w:rsidRPr="00005D71">
        <w:rPr>
          <w:rFonts w:ascii="Times New Roman" w:hAnsi="Times New Roman" w:cs="Times New Roman"/>
          <w:sz w:val="28"/>
          <w:szCs w:val="28"/>
        </w:rPr>
        <w:br/>
      </w:r>
    </w:p>
    <w:p w14:paraId="00F93318" w14:textId="68964E45" w:rsidR="00FD0DF2" w:rsidRPr="00005D71" w:rsidRDefault="00FD0DF2" w:rsidP="00723DB5">
      <w:pPr>
        <w:pStyle w:val="ListParagraph"/>
        <w:numPr>
          <w:ilvl w:val="1"/>
          <w:numId w:val="1"/>
        </w:numPr>
        <w:spacing w:line="276" w:lineRule="auto"/>
        <w:rPr>
          <w:rFonts w:ascii="Times New Roman" w:hAnsi="Times New Roman" w:cs="Times New Roman"/>
          <w:sz w:val="28"/>
          <w:szCs w:val="28"/>
        </w:rPr>
      </w:pPr>
      <w:r w:rsidRPr="00005D71">
        <w:rPr>
          <w:rFonts w:ascii="Times New Roman" w:hAnsi="Times New Roman" w:cs="Times New Roman"/>
          <w:b/>
          <w:bCs/>
          <w:i/>
          <w:iCs/>
          <w:sz w:val="28"/>
          <w:szCs w:val="28"/>
        </w:rPr>
        <w:t>Decision</w:t>
      </w:r>
      <w:r w:rsidRPr="00005D71">
        <w:rPr>
          <w:rFonts w:ascii="Times New Roman" w:hAnsi="Times New Roman" w:cs="Times New Roman"/>
          <w:i/>
          <w:iCs/>
          <w:sz w:val="28"/>
          <w:szCs w:val="28"/>
        </w:rPr>
        <w:t xml:space="preserve">: </w:t>
      </w:r>
      <w:r w:rsidRPr="003E67BB">
        <w:rPr>
          <w:rFonts w:ascii="Times New Roman" w:hAnsi="Times New Roman" w:cs="Times New Roman"/>
          <w:sz w:val="28"/>
          <w:szCs w:val="28"/>
        </w:rPr>
        <w:t xml:space="preserve">However, in a 5-4 split decision </w:t>
      </w:r>
      <w:r w:rsidR="00144AE5" w:rsidRPr="003E67BB">
        <w:rPr>
          <w:rFonts w:ascii="Times New Roman" w:hAnsi="Times New Roman" w:cs="Times New Roman"/>
          <w:sz w:val="28"/>
          <w:szCs w:val="28"/>
        </w:rPr>
        <w:t xml:space="preserve">along ideological lines, </w:t>
      </w:r>
      <w:r w:rsidRPr="003E67BB">
        <w:rPr>
          <w:rFonts w:ascii="Times New Roman" w:hAnsi="Times New Roman" w:cs="Times New Roman"/>
          <w:sz w:val="28"/>
          <w:szCs w:val="28"/>
        </w:rPr>
        <w:t xml:space="preserve">the </w:t>
      </w:r>
      <w:r w:rsidRPr="003E67BB">
        <w:rPr>
          <w:rFonts w:ascii="Times New Roman" w:hAnsi="Times New Roman" w:cs="Times New Roman"/>
          <w:sz w:val="28"/>
          <w:szCs w:val="28"/>
          <w:u w:val="single"/>
        </w:rPr>
        <w:t>US Supreme Court</w:t>
      </w:r>
      <w:r w:rsidRPr="003E67BB">
        <w:rPr>
          <w:rFonts w:ascii="Times New Roman" w:hAnsi="Times New Roman" w:cs="Times New Roman"/>
          <w:sz w:val="28"/>
          <w:szCs w:val="28"/>
        </w:rPr>
        <w:t xml:space="preserve"> </w:t>
      </w:r>
      <w:r w:rsidR="00144AE5" w:rsidRPr="003E67BB">
        <w:rPr>
          <w:rFonts w:ascii="Times New Roman" w:hAnsi="Times New Roman" w:cs="Times New Roman"/>
          <w:sz w:val="28"/>
          <w:szCs w:val="28"/>
        </w:rPr>
        <w:t xml:space="preserve">overruled </w:t>
      </w:r>
      <w:r w:rsidR="00144AE5" w:rsidRPr="003E67BB">
        <w:rPr>
          <w:rFonts w:ascii="Times New Roman" w:hAnsi="Times New Roman" w:cs="Times New Roman"/>
          <w:i/>
          <w:iCs/>
          <w:sz w:val="28"/>
          <w:szCs w:val="28"/>
        </w:rPr>
        <w:t>Austin v. Michigan Chamber of Commerce</w:t>
      </w:r>
      <w:r w:rsidR="00144AE5" w:rsidRPr="00005D71">
        <w:rPr>
          <w:rFonts w:ascii="Times New Roman" w:hAnsi="Times New Roman" w:cs="Times New Roman"/>
          <w:sz w:val="28"/>
          <w:szCs w:val="28"/>
        </w:rPr>
        <w:t xml:space="preserve"> and portions of </w:t>
      </w:r>
      <w:r w:rsidR="00144AE5" w:rsidRPr="00005D71">
        <w:rPr>
          <w:rFonts w:ascii="Times New Roman" w:hAnsi="Times New Roman" w:cs="Times New Roman"/>
          <w:i/>
          <w:iCs/>
          <w:sz w:val="28"/>
          <w:szCs w:val="28"/>
        </w:rPr>
        <w:t>McConnel v. FEC</w:t>
      </w:r>
      <w:r w:rsidR="00144AE5" w:rsidRPr="00005D71">
        <w:rPr>
          <w:rFonts w:ascii="Times New Roman" w:hAnsi="Times New Roman" w:cs="Times New Roman"/>
          <w:sz w:val="28"/>
          <w:szCs w:val="28"/>
        </w:rPr>
        <w:t xml:space="preserve"> with the majority holding that under the First Amendment corporate </w:t>
      </w:r>
      <w:r w:rsidR="00723DB5" w:rsidRPr="00005D71">
        <w:rPr>
          <w:rFonts w:ascii="Times New Roman" w:hAnsi="Times New Roman" w:cs="Times New Roman"/>
          <w:sz w:val="28"/>
          <w:szCs w:val="28"/>
        </w:rPr>
        <w:t>funding</w:t>
      </w:r>
      <w:r w:rsidR="00144AE5" w:rsidRPr="00005D71">
        <w:rPr>
          <w:rFonts w:ascii="Times New Roman" w:hAnsi="Times New Roman" w:cs="Times New Roman"/>
          <w:sz w:val="28"/>
          <w:szCs w:val="28"/>
        </w:rPr>
        <w:t xml:space="preserve"> of independent political broadcasts in candidate elections cannot be limited. The majority held that BCRA’s disclosure requirements as applied to the movie were constitutional, reasoning that disclosure is justified by a “governmental interest in providing the electorate with information about election-related spending resources.” The Court also upheld the disclosure requirements for political advertising </w:t>
      </w:r>
      <w:r w:rsidR="00005D71" w:rsidRPr="00005D71">
        <w:rPr>
          <w:rFonts w:ascii="Times New Roman" w:hAnsi="Times New Roman" w:cs="Times New Roman"/>
          <w:sz w:val="28"/>
          <w:szCs w:val="28"/>
        </w:rPr>
        <w:t>sponsors,</w:t>
      </w:r>
      <w:r w:rsidR="00144AE5" w:rsidRPr="00005D71">
        <w:rPr>
          <w:rFonts w:ascii="Times New Roman" w:hAnsi="Times New Roman" w:cs="Times New Roman"/>
          <w:sz w:val="28"/>
          <w:szCs w:val="28"/>
        </w:rPr>
        <w:t xml:space="preserve"> and it upheld the ban on direct contributions to candidates from corporations and unions.</w:t>
      </w:r>
    </w:p>
    <w:p w14:paraId="0EC0F876" w14:textId="1A1E7AF1" w:rsidR="00633EE2" w:rsidRPr="00005D71" w:rsidRDefault="00144AE5" w:rsidP="00005D71">
      <w:pPr>
        <w:pStyle w:val="ListParagraph"/>
        <w:numPr>
          <w:ilvl w:val="1"/>
          <w:numId w:val="1"/>
        </w:numPr>
        <w:spacing w:line="276" w:lineRule="auto"/>
        <w:rPr>
          <w:rFonts w:ascii="Times New Roman" w:hAnsi="Times New Roman" w:cs="Times New Roman"/>
          <w:sz w:val="28"/>
          <w:szCs w:val="28"/>
        </w:rPr>
      </w:pPr>
      <w:r w:rsidRPr="00005D71">
        <w:rPr>
          <w:rFonts w:ascii="Times New Roman" w:hAnsi="Times New Roman" w:cs="Times New Roman"/>
          <w:b/>
          <w:bCs/>
          <w:sz w:val="28"/>
          <w:szCs w:val="28"/>
        </w:rPr>
        <w:t>Dissenting Opinion</w:t>
      </w:r>
      <w:r w:rsidRPr="00005D71">
        <w:rPr>
          <w:rFonts w:ascii="Times New Roman" w:hAnsi="Times New Roman" w:cs="Times New Roman"/>
          <w:b/>
          <w:bCs/>
          <w:i/>
          <w:iCs/>
          <w:sz w:val="28"/>
          <w:szCs w:val="28"/>
        </w:rPr>
        <w:t xml:space="preserve">: </w:t>
      </w:r>
      <w:r w:rsidRPr="003E67BB">
        <w:rPr>
          <w:rFonts w:ascii="Times New Roman" w:hAnsi="Times New Roman" w:cs="Times New Roman"/>
          <w:sz w:val="28"/>
          <w:szCs w:val="28"/>
        </w:rPr>
        <w:t xml:space="preserve">Justice Stevens </w:t>
      </w:r>
      <w:r w:rsidR="00723DB5" w:rsidRPr="003E67BB">
        <w:rPr>
          <w:rFonts w:ascii="Times New Roman" w:hAnsi="Times New Roman" w:cs="Times New Roman"/>
          <w:sz w:val="28"/>
          <w:szCs w:val="28"/>
        </w:rPr>
        <w:t>argued that the Court had long recognized that to deny Congress the power to safeguard against “the improper use of money to influence the result of an election, is to deny the nation in a  vital particular the power of self-protection.”</w:t>
      </w:r>
    </w:p>
    <w:p w14:paraId="1E5F32FD" w14:textId="43F0A141" w:rsidR="00005D71" w:rsidRDefault="00005D71" w:rsidP="00005D71">
      <w:pPr>
        <w:pStyle w:val="ListParagraph"/>
        <w:numPr>
          <w:ilvl w:val="3"/>
          <w:numId w:val="1"/>
        </w:numPr>
        <w:spacing w:line="276" w:lineRule="auto"/>
        <w:rPr>
          <w:rFonts w:ascii="Times New Roman" w:hAnsi="Times New Roman" w:cs="Times New Roman"/>
          <w:sz w:val="28"/>
          <w:szCs w:val="28"/>
        </w:rPr>
      </w:pPr>
      <w:r>
        <w:rPr>
          <w:rFonts w:ascii="Times New Roman" w:hAnsi="Times New Roman" w:cs="Times New Roman"/>
          <w:sz w:val="28"/>
          <w:szCs w:val="28"/>
        </w:rPr>
        <w:t>Ideological Lines… meaning Conservative judges were in the majority opinion, and Liberal/progressive judges were in the dissenting opinion.</w:t>
      </w:r>
    </w:p>
    <w:p w14:paraId="01672431" w14:textId="3DA99999" w:rsidR="00FC1AEA" w:rsidRDefault="00FC1AEA" w:rsidP="00FC1AEA">
      <w:pPr>
        <w:pStyle w:val="ListParagraph"/>
        <w:numPr>
          <w:ilvl w:val="1"/>
          <w:numId w:val="1"/>
        </w:numPr>
        <w:spacing w:line="276" w:lineRule="auto"/>
        <w:rPr>
          <w:rFonts w:ascii="Times New Roman" w:hAnsi="Times New Roman" w:cs="Times New Roman"/>
          <w:sz w:val="28"/>
          <w:szCs w:val="28"/>
        </w:rPr>
      </w:pPr>
      <w:r w:rsidRPr="00FC1AEA">
        <w:rPr>
          <w:rFonts w:ascii="Times New Roman" w:hAnsi="Times New Roman" w:cs="Times New Roman"/>
          <w:b/>
          <w:bCs/>
          <w:sz w:val="28"/>
          <w:szCs w:val="28"/>
        </w:rPr>
        <w:t>Put simply</w:t>
      </w:r>
      <w:r>
        <w:rPr>
          <w:rFonts w:ascii="Times New Roman" w:hAnsi="Times New Roman" w:cs="Times New Roman"/>
          <w:sz w:val="28"/>
          <w:szCs w:val="28"/>
        </w:rPr>
        <w:t xml:space="preserve">: Citizens United v. FEC (2010) allowed for corporations to </w:t>
      </w:r>
      <w:proofErr w:type="gramStart"/>
      <w:r>
        <w:rPr>
          <w:rFonts w:ascii="Times New Roman" w:hAnsi="Times New Roman" w:cs="Times New Roman"/>
          <w:sz w:val="28"/>
          <w:szCs w:val="28"/>
        </w:rPr>
        <w:t>be seen as</w:t>
      </w:r>
      <w:proofErr w:type="gramEnd"/>
      <w:r>
        <w:rPr>
          <w:rFonts w:ascii="Times New Roman" w:hAnsi="Times New Roman" w:cs="Times New Roman"/>
          <w:sz w:val="28"/>
          <w:szCs w:val="28"/>
        </w:rPr>
        <w:t xml:space="preserve"> “people,” under the eyes of the law and therefore entitled them to the same political actions that you and I are entitled to. </w:t>
      </w:r>
      <w:r>
        <w:rPr>
          <w:rFonts w:ascii="Times New Roman" w:hAnsi="Times New Roman" w:cs="Times New Roman"/>
          <w:sz w:val="28"/>
          <w:szCs w:val="28"/>
        </w:rPr>
        <w:lastRenderedPageBreak/>
        <w:t>Corporations therefore have no limits placed on the amount of money they can spend contributing to political causes or parties – but the ban on them contributing directly to politicians was upheld.</w:t>
      </w:r>
    </w:p>
    <w:p w14:paraId="2E7656F4" w14:textId="7E2CDCFC" w:rsidR="00FC1AEA" w:rsidRPr="00FC1AEA" w:rsidRDefault="00FC1AEA" w:rsidP="00FC1AEA">
      <w:pPr>
        <w:pStyle w:val="ListParagraph"/>
        <w:numPr>
          <w:ilvl w:val="0"/>
          <w:numId w:val="1"/>
        </w:numPr>
        <w:spacing w:line="276" w:lineRule="auto"/>
        <w:rPr>
          <w:rFonts w:ascii="Times New Roman" w:hAnsi="Times New Roman" w:cs="Times New Roman"/>
          <w:sz w:val="28"/>
          <w:szCs w:val="28"/>
        </w:rPr>
      </w:pPr>
      <w:r w:rsidRPr="00FC1AEA">
        <w:rPr>
          <w:rFonts w:ascii="Times New Roman" w:hAnsi="Times New Roman" w:cs="Times New Roman"/>
          <w:b/>
          <w:bCs/>
          <w:sz w:val="28"/>
          <w:szCs w:val="28"/>
        </w:rPr>
        <w:t>Potential Consequences</w:t>
      </w:r>
      <w:r>
        <w:rPr>
          <w:rFonts w:ascii="Times New Roman" w:hAnsi="Times New Roman" w:cs="Times New Roman"/>
          <w:sz w:val="28"/>
          <w:szCs w:val="28"/>
        </w:rPr>
        <w:t xml:space="preserve">: “Opens the flood gates” for advocacy spending in campaigns ($1.3 billion in 2012 and growing) … paves the way for Super PACs. Those who argue that Citizens United should be overturned say that the potential for corporations to sway elections or impact the democratic process is far too great given that corporations have much larger bank accounts than ordinary citizens. Those for it argue that placing limits on corporations limits their First Amendment right to free speech. For example, </w:t>
      </w:r>
      <w:r w:rsidRPr="00FC1AEA">
        <w:rPr>
          <w:rFonts w:ascii="Times New Roman" w:hAnsi="Times New Roman" w:cs="Times New Roman"/>
          <w:sz w:val="28"/>
          <w:szCs w:val="28"/>
        </w:rPr>
        <w:t>Senator Mitch McConnell said:</w:t>
      </w:r>
    </w:p>
    <w:p w14:paraId="1A26B55F" w14:textId="04A4A93F" w:rsidR="00FC1AEA" w:rsidRPr="00FC1AEA" w:rsidRDefault="00FC1AEA" w:rsidP="00FC1AEA">
      <w:pPr>
        <w:pStyle w:val="ListParagraph"/>
        <w:numPr>
          <w:ilvl w:val="2"/>
          <w:numId w:val="1"/>
        </w:numPr>
        <w:spacing w:line="276" w:lineRule="auto"/>
        <w:rPr>
          <w:rFonts w:ascii="Times New Roman" w:hAnsi="Times New Roman" w:cs="Times New Roman"/>
          <w:sz w:val="24"/>
          <w:szCs w:val="24"/>
        </w:rPr>
      </w:pPr>
      <w:r w:rsidRPr="00FC1AEA">
        <w:rPr>
          <w:rFonts w:ascii="Times New Roman" w:hAnsi="Times New Roman" w:cs="Times New Roman"/>
          <w:b/>
          <w:bCs/>
          <w:sz w:val="24"/>
          <w:szCs w:val="24"/>
        </w:rPr>
        <w:t>“</w:t>
      </w:r>
      <w:r w:rsidRPr="00FC1AEA">
        <w:rPr>
          <w:rFonts w:ascii="Times New Roman" w:hAnsi="Times New Roman" w:cs="Times New Roman"/>
          <w:color w:val="222222"/>
          <w:sz w:val="24"/>
          <w:szCs w:val="24"/>
          <w:shd w:val="clear" w:color="auto" w:fill="FFFFFF"/>
        </w:rPr>
        <w:t>For too long, some in this country have been deprived of full participation in the political process. With today’s monumental decision, the Supreme Court took an important step in the direction of restoring the First Amendment rights of these groups by ruling that the Constitution protects their right to express themselves about political candidates and issues up until Election Day. By previously denying this right, the government was picking winners and losers. Our democracy depends upon free speech, not just for some but for all.</w:t>
      </w:r>
      <w:r w:rsidRPr="00FC1AEA">
        <w:rPr>
          <w:rFonts w:ascii="Times New Roman" w:hAnsi="Times New Roman" w:cs="Times New Roman"/>
          <w:color w:val="222222"/>
          <w:sz w:val="24"/>
          <w:szCs w:val="24"/>
          <w:shd w:val="clear" w:color="auto" w:fill="FFFFFF"/>
        </w:rPr>
        <w:t>”</w:t>
      </w:r>
    </w:p>
    <w:p w14:paraId="3BFD89D0" w14:textId="73681A1D" w:rsidR="00FC1AEA" w:rsidRPr="00FC1AEA" w:rsidRDefault="00FC1AEA" w:rsidP="00FC1AEA">
      <w:pPr>
        <w:pStyle w:val="ListParagraph"/>
        <w:numPr>
          <w:ilvl w:val="7"/>
          <w:numId w:val="1"/>
        </w:numPr>
        <w:spacing w:line="276" w:lineRule="auto"/>
        <w:rPr>
          <w:rFonts w:ascii="Times New Roman" w:hAnsi="Times New Roman" w:cs="Times New Roman"/>
          <w:sz w:val="28"/>
          <w:szCs w:val="28"/>
        </w:rPr>
      </w:pPr>
      <w:r w:rsidRPr="00FC1AEA">
        <w:rPr>
          <w:rFonts w:ascii="Times New Roman" w:hAnsi="Times New Roman" w:cs="Times New Roman"/>
          <w:b/>
          <w:bCs/>
          <w:sz w:val="28"/>
          <w:szCs w:val="28"/>
        </w:rPr>
        <w:t>-</w:t>
      </w:r>
      <w:r w:rsidRPr="00FC1AEA">
        <w:rPr>
          <w:rFonts w:ascii="Times New Roman" w:hAnsi="Times New Roman" w:cs="Times New Roman"/>
          <w:sz w:val="28"/>
          <w:szCs w:val="28"/>
        </w:rPr>
        <w:t>Senator Mitch McConnel</w:t>
      </w:r>
    </w:p>
    <w:p w14:paraId="7E231173" w14:textId="2CD9BF6D" w:rsidR="000B2728" w:rsidRDefault="000B2728" w:rsidP="000B2728">
      <w:bookmarkStart w:id="0" w:name="_GoBack"/>
      <w:bookmarkEnd w:id="0"/>
    </w:p>
    <w:p w14:paraId="3891943C" w14:textId="77777777" w:rsidR="00FC1AEA" w:rsidRPr="000B2728" w:rsidRDefault="00FC1AEA" w:rsidP="000B2728"/>
    <w:p w14:paraId="1442A077" w14:textId="5B12C39B" w:rsidR="000B2728" w:rsidRDefault="000B2728" w:rsidP="000B2728">
      <w:pPr>
        <w:jc w:val="center"/>
      </w:pPr>
    </w:p>
    <w:p w14:paraId="79E6EAFF" w14:textId="77777777" w:rsidR="000B2728" w:rsidRDefault="000B2728" w:rsidP="000B2728"/>
    <w:sectPr w:rsidR="000B27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AE600B"/>
    <w:multiLevelType w:val="hybridMultilevel"/>
    <w:tmpl w:val="7DEEBB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CBE014F"/>
    <w:multiLevelType w:val="hybridMultilevel"/>
    <w:tmpl w:val="49A0FE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058"/>
    <w:rsid w:val="00005D71"/>
    <w:rsid w:val="000B2728"/>
    <w:rsid w:val="00144AE5"/>
    <w:rsid w:val="003E67BB"/>
    <w:rsid w:val="004C12D9"/>
    <w:rsid w:val="00633EE2"/>
    <w:rsid w:val="00723DB5"/>
    <w:rsid w:val="00D52058"/>
    <w:rsid w:val="00F32346"/>
    <w:rsid w:val="00FC1AEA"/>
    <w:rsid w:val="00FD0D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71AAC"/>
  <w15:chartTrackingRefBased/>
  <w15:docId w15:val="{B175209E-C2D1-492A-9CDB-600E83E01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27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TotalTime>
  <Pages>4</Pages>
  <Words>886</Words>
  <Characters>5054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Plainfield School District 202</Company>
  <LinksUpToDate>false</LinksUpToDate>
  <CharactersWithSpaces>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Sterchi</dc:creator>
  <cp:keywords/>
  <dc:description/>
  <cp:lastModifiedBy>Aaron Sterchi</cp:lastModifiedBy>
  <cp:revision>5</cp:revision>
  <dcterms:created xsi:type="dcterms:W3CDTF">2019-12-01T22:50:00Z</dcterms:created>
  <dcterms:modified xsi:type="dcterms:W3CDTF">2019-12-02T03:18:00Z</dcterms:modified>
</cp:coreProperties>
</file>